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77" w:rsidRDefault="000C5977"/>
    <w:p w:rsidR="000C5977" w:rsidRDefault="006D0B5D" w:rsidP="000C5977">
      <w:pPr>
        <w:pStyle w:val="Heading1"/>
        <w:ind w:left="720" w:firstLine="720"/>
      </w:pPr>
      <w:r>
        <w:t>BBMP Budget 2020</w:t>
      </w:r>
      <w:r w:rsidR="000C5977">
        <w:t>-</w:t>
      </w:r>
      <w:r>
        <w:t>21:</w:t>
      </w:r>
      <w:r w:rsidR="000C5977" w:rsidRPr="00F803AE">
        <w:t xml:space="preserve"> Janaagraha Analysis</w:t>
      </w:r>
    </w:p>
    <w:p w:rsidR="000C5977" w:rsidRPr="0090095B" w:rsidRDefault="000C5977" w:rsidP="000C5977">
      <w:pPr>
        <w:ind w:right="-113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(</w:t>
      </w:r>
      <w:r w:rsidRPr="0090095B">
        <w:rPr>
          <w:i/>
          <w:sz w:val="20"/>
          <w:szCs w:val="20"/>
        </w:rPr>
        <w:t xml:space="preserve">All amounts in </w:t>
      </w:r>
      <w:proofErr w:type="spellStart"/>
      <w:r w:rsidRPr="0090095B">
        <w:rPr>
          <w:i/>
          <w:sz w:val="20"/>
          <w:szCs w:val="20"/>
        </w:rPr>
        <w:t>Rs</w:t>
      </w:r>
      <w:proofErr w:type="spellEnd"/>
      <w:r w:rsidRPr="0090095B">
        <w:rPr>
          <w:i/>
          <w:sz w:val="20"/>
          <w:szCs w:val="20"/>
        </w:rPr>
        <w:t xml:space="preserve"> Cr unless otherwise stated</w:t>
      </w:r>
      <w:r>
        <w:rPr>
          <w:i/>
          <w:sz w:val="20"/>
          <w:szCs w:val="20"/>
        </w:rPr>
        <w:t>; all growth rates on compounded basis unless otherwise stated)</w:t>
      </w:r>
    </w:p>
    <w:p w:rsidR="005F6229" w:rsidRDefault="005F6229"/>
    <w:p w:rsidR="00BB2BC4" w:rsidRDefault="00BB2BC4" w:rsidP="00BB2BC4">
      <w:pPr>
        <w:jc w:val="both"/>
      </w:pPr>
    </w:p>
    <w:p w:rsidR="00F8359A" w:rsidRDefault="003E2C4E" w:rsidP="00BB2BC4">
      <w:pPr>
        <w:jc w:val="both"/>
      </w:pPr>
      <w:r w:rsidRPr="001A0D7D">
        <w:t>BBMP</w:t>
      </w:r>
      <w:r w:rsidR="008465AA">
        <w:t xml:space="preserve"> </w:t>
      </w:r>
      <w:r w:rsidR="008465AA" w:rsidRPr="001A0D7D">
        <w:t xml:space="preserve">has </w:t>
      </w:r>
      <w:r w:rsidR="00CF05DE">
        <w:t xml:space="preserve">estimated an outlay of </w:t>
      </w:r>
      <w:r w:rsidR="0023025F">
        <w:t>INR</w:t>
      </w:r>
      <w:r w:rsidR="00CF05DE">
        <w:t xml:space="preserve"> 10,899</w:t>
      </w:r>
      <w:r w:rsidR="008465AA" w:rsidRPr="001A0D7D">
        <w:t xml:space="preserve"> crores</w:t>
      </w:r>
      <w:r w:rsidR="00CF05DE">
        <w:t xml:space="preserve"> for the year 2020-21</w:t>
      </w:r>
      <w:r w:rsidR="00F8359A" w:rsidRPr="001A0D7D">
        <w:t xml:space="preserve"> </w:t>
      </w:r>
      <w:r w:rsidRPr="001A0D7D">
        <w:t xml:space="preserve">with </w:t>
      </w:r>
      <w:r w:rsidR="0023025F">
        <w:t>INR</w:t>
      </w:r>
      <w:r w:rsidR="00CF05DE">
        <w:t xml:space="preserve"> 5607 crores (51</w:t>
      </w:r>
      <w:r w:rsidRPr="001A0D7D">
        <w:t>%) allocated towards revenue expenditure such as salaries, administrative cost and operational and maintena</w:t>
      </w:r>
      <w:r w:rsidR="00CF05DE">
        <w:t xml:space="preserve">nce cost and </w:t>
      </w:r>
      <w:r w:rsidR="0023025F">
        <w:t>INR</w:t>
      </w:r>
      <w:r w:rsidR="00CF05DE">
        <w:t xml:space="preserve"> 5288 crores (49</w:t>
      </w:r>
      <w:r w:rsidRPr="001A0D7D">
        <w:t>%) towards capital expen</w:t>
      </w:r>
      <w:r w:rsidR="008465AA">
        <w:t>diture</w:t>
      </w:r>
      <w:r w:rsidRPr="001A0D7D">
        <w:t xml:space="preserve">. </w:t>
      </w:r>
    </w:p>
    <w:p w:rsidR="00212236" w:rsidRPr="00C665A5" w:rsidRDefault="00212236" w:rsidP="00330EEF"/>
    <w:p w:rsidR="000C5977" w:rsidRDefault="000C5977" w:rsidP="0098385A">
      <w:pPr>
        <w:pStyle w:val="Heading2"/>
      </w:pPr>
      <w:r>
        <w:t xml:space="preserve">Quality of </w:t>
      </w:r>
      <w:r w:rsidR="002370F6">
        <w:t xml:space="preserve">historical </w:t>
      </w:r>
      <w:r>
        <w:t>budget</w:t>
      </w:r>
      <w:r w:rsidR="002370F6">
        <w:t>s</w:t>
      </w:r>
    </w:p>
    <w:p w:rsidR="0098385A" w:rsidRPr="0098385A" w:rsidRDefault="0098385A" w:rsidP="0098385A"/>
    <w:p w:rsidR="00971A23" w:rsidRPr="00971A23" w:rsidRDefault="00971A23" w:rsidP="000C5977">
      <w:pPr>
        <w:rPr>
          <w:b/>
          <w:u w:val="single"/>
        </w:rPr>
      </w:pPr>
      <w:r w:rsidRPr="00971A23">
        <w:rPr>
          <w:b/>
          <w:u w:val="single"/>
        </w:rPr>
        <w:t>Table 1:  Historical Budget Variance</w:t>
      </w:r>
    </w:p>
    <w:tbl>
      <w:tblPr>
        <w:tblStyle w:val="GridTable5Dark-Accent5"/>
        <w:tblW w:w="8873" w:type="dxa"/>
        <w:tblLook w:val="04A0" w:firstRow="1" w:lastRow="0" w:firstColumn="1" w:lastColumn="0" w:noHBand="0" w:noVBand="1"/>
      </w:tblPr>
      <w:tblGrid>
        <w:gridCol w:w="1597"/>
        <w:gridCol w:w="1444"/>
        <w:gridCol w:w="1444"/>
        <w:gridCol w:w="1445"/>
        <w:gridCol w:w="1444"/>
        <w:gridCol w:w="1499"/>
      </w:tblGrid>
      <w:tr w:rsidR="00971A23" w:rsidRPr="00971A23" w:rsidTr="00C01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hideMark/>
          </w:tcPr>
          <w:p w:rsidR="00971A23" w:rsidRPr="00971A23" w:rsidRDefault="00971A23" w:rsidP="00971A23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3" w:type="dxa"/>
            <w:gridSpan w:val="3"/>
            <w:hideMark/>
          </w:tcPr>
          <w:p w:rsidR="00971A23" w:rsidRPr="00971A23" w:rsidRDefault="00971A23" w:rsidP="00971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in crores</w:t>
            </w:r>
          </w:p>
        </w:tc>
        <w:tc>
          <w:tcPr>
            <w:tcW w:w="2943" w:type="dxa"/>
            <w:gridSpan w:val="2"/>
            <w:hideMark/>
          </w:tcPr>
          <w:p w:rsidR="00971A23" w:rsidRPr="00971A23" w:rsidRDefault="00971A23" w:rsidP="00971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Variance %</w:t>
            </w:r>
          </w:p>
        </w:tc>
      </w:tr>
      <w:tr w:rsidR="00971A23" w:rsidRPr="00971A23" w:rsidTr="00C0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hideMark/>
          </w:tcPr>
          <w:p w:rsidR="00971A23" w:rsidRPr="00971A23" w:rsidRDefault="00971A23" w:rsidP="00971A23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Particulars</w:t>
            </w:r>
          </w:p>
        </w:tc>
        <w:tc>
          <w:tcPr>
            <w:tcW w:w="1444" w:type="dxa"/>
            <w:hideMark/>
          </w:tcPr>
          <w:p w:rsidR="00971A23" w:rsidRPr="00971A23" w:rsidRDefault="00971A23" w:rsidP="00971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71A23">
              <w:rPr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1444" w:type="dxa"/>
            <w:hideMark/>
          </w:tcPr>
          <w:p w:rsidR="00971A23" w:rsidRPr="00971A23" w:rsidRDefault="00971A23" w:rsidP="00971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71A23">
              <w:rPr>
                <w:b/>
                <w:bCs/>
                <w:color w:val="000000"/>
                <w:sz w:val="20"/>
                <w:szCs w:val="20"/>
              </w:rPr>
              <w:t>RE</w:t>
            </w:r>
          </w:p>
        </w:tc>
        <w:tc>
          <w:tcPr>
            <w:tcW w:w="1444" w:type="dxa"/>
            <w:hideMark/>
          </w:tcPr>
          <w:p w:rsidR="00971A23" w:rsidRPr="00971A23" w:rsidRDefault="00971A23" w:rsidP="00971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71A23"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1444" w:type="dxa"/>
            <w:hideMark/>
          </w:tcPr>
          <w:p w:rsidR="00971A23" w:rsidRPr="00971A23" w:rsidRDefault="00971A23" w:rsidP="00971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71A23">
              <w:rPr>
                <w:b/>
                <w:bCs/>
                <w:color w:val="000000"/>
                <w:sz w:val="20"/>
                <w:szCs w:val="20"/>
              </w:rPr>
              <w:t>BE vs RBE</w:t>
            </w:r>
          </w:p>
        </w:tc>
        <w:tc>
          <w:tcPr>
            <w:tcW w:w="1499" w:type="dxa"/>
            <w:hideMark/>
          </w:tcPr>
          <w:p w:rsidR="00971A23" w:rsidRPr="00971A23" w:rsidRDefault="00971A23" w:rsidP="00971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71A23">
              <w:rPr>
                <w:b/>
                <w:bCs/>
                <w:color w:val="000000"/>
                <w:sz w:val="20"/>
                <w:szCs w:val="20"/>
              </w:rPr>
              <w:t>BE vs Actuals</w:t>
            </w:r>
          </w:p>
        </w:tc>
      </w:tr>
      <w:tr w:rsidR="00971A23" w:rsidRPr="00971A23" w:rsidTr="00C01C8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8,445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3,209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3,093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62</w:t>
            </w:r>
            <w:r w:rsidR="002E529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63%</w:t>
            </w:r>
          </w:p>
        </w:tc>
      </w:tr>
      <w:tr w:rsidR="00971A23" w:rsidRPr="00971A23" w:rsidTr="00C0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5,978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2,894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4,205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5</w:t>
            </w:r>
            <w:r w:rsidR="002E529D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30%</w:t>
            </w:r>
          </w:p>
        </w:tc>
      </w:tr>
      <w:tr w:rsidR="00971A23" w:rsidRPr="00971A23" w:rsidTr="00C01C8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 xml:space="preserve">2015-16 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5,394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4,542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5,246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1</w:t>
            </w:r>
            <w:r w:rsidR="002E529D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3%</w:t>
            </w:r>
          </w:p>
        </w:tc>
      </w:tr>
      <w:tr w:rsidR="00971A23" w:rsidRPr="00971A23" w:rsidTr="00C0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9,331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6,819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6,572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</w:t>
            </w:r>
            <w:r w:rsidR="002E529D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30%</w:t>
            </w:r>
          </w:p>
        </w:tc>
      </w:tr>
      <w:tr w:rsidR="00971A23" w:rsidRPr="00971A23" w:rsidTr="00C01C8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9,996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1A23">
              <w:rPr>
                <w:sz w:val="20"/>
                <w:szCs w:val="20"/>
              </w:rPr>
              <w:t>7,514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1A23">
              <w:rPr>
                <w:sz w:val="20"/>
                <w:szCs w:val="20"/>
              </w:rPr>
              <w:t>7,321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</w:t>
            </w:r>
            <w:r w:rsidR="002E529D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27%</w:t>
            </w:r>
          </w:p>
        </w:tc>
      </w:tr>
      <w:tr w:rsidR="00971A23" w:rsidRPr="00971A23" w:rsidTr="00C0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10,129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1A23">
              <w:rPr>
                <w:sz w:val="20"/>
                <w:szCs w:val="20"/>
              </w:rPr>
              <w:t>7,380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CF05DE" w:rsidP="00CF05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7,296</w:t>
            </w:r>
            <w:r w:rsidR="00971A23" w:rsidRPr="00971A2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27</w:t>
            </w:r>
            <w:r w:rsidR="002E529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CF05DE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28%</w:t>
            </w:r>
          </w:p>
        </w:tc>
      </w:tr>
      <w:tr w:rsidR="00971A23" w:rsidRPr="00971A23" w:rsidTr="00C01C87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  <w:hideMark/>
          </w:tcPr>
          <w:p w:rsidR="00971A23" w:rsidRPr="00971A23" w:rsidRDefault="00971A23" w:rsidP="00971A23">
            <w:pPr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CF05DE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11,649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CF05DE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 xml:space="preserve">NA </w:t>
            </w:r>
          </w:p>
        </w:tc>
        <w:tc>
          <w:tcPr>
            <w:tcW w:w="1444" w:type="dxa"/>
            <w:noWrap/>
            <w:hideMark/>
          </w:tcPr>
          <w:p w:rsidR="00971A23" w:rsidRPr="00971A23" w:rsidRDefault="00581FD1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CF05D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hideMark/>
          </w:tcPr>
          <w:p w:rsidR="00971A23" w:rsidRPr="00971A23" w:rsidRDefault="00971A23" w:rsidP="00971A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71A23">
              <w:rPr>
                <w:color w:val="000000"/>
                <w:sz w:val="20"/>
                <w:szCs w:val="20"/>
              </w:rPr>
              <w:t>NA</w:t>
            </w:r>
          </w:p>
        </w:tc>
      </w:tr>
      <w:tr w:rsidR="00CF05DE" w:rsidRPr="00971A23" w:rsidTr="00C0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noWrap/>
          </w:tcPr>
          <w:p w:rsidR="00CF05DE" w:rsidRPr="00971A23" w:rsidRDefault="00CF05DE" w:rsidP="00971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2020-21</w:t>
            </w:r>
          </w:p>
        </w:tc>
        <w:tc>
          <w:tcPr>
            <w:tcW w:w="1444" w:type="dxa"/>
            <w:noWrap/>
          </w:tcPr>
          <w:p w:rsidR="00CF05DE" w:rsidRPr="00971A23" w:rsidRDefault="00CF05DE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10899</w:t>
            </w:r>
          </w:p>
        </w:tc>
        <w:tc>
          <w:tcPr>
            <w:tcW w:w="1444" w:type="dxa"/>
            <w:noWrap/>
          </w:tcPr>
          <w:p w:rsidR="00CF05DE" w:rsidRPr="00971A23" w:rsidRDefault="00CF05DE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44" w:type="dxa"/>
            <w:noWrap/>
          </w:tcPr>
          <w:p w:rsidR="00CF05DE" w:rsidRPr="00971A23" w:rsidRDefault="00CF05DE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44" w:type="dxa"/>
            <w:noWrap/>
          </w:tcPr>
          <w:p w:rsidR="00CF05DE" w:rsidRPr="00971A23" w:rsidRDefault="00CF05DE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99" w:type="dxa"/>
            <w:noWrap/>
          </w:tcPr>
          <w:p w:rsidR="00CF05DE" w:rsidRPr="00971A23" w:rsidRDefault="00CF05DE" w:rsidP="00971A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:rsidR="00971A23" w:rsidRDefault="00971A23" w:rsidP="000C5977">
      <w:pPr>
        <w:rPr>
          <w:sz w:val="16"/>
          <w:szCs w:val="16"/>
        </w:rPr>
      </w:pPr>
      <w:r w:rsidRPr="00971A23">
        <w:rPr>
          <w:sz w:val="16"/>
          <w:szCs w:val="16"/>
        </w:rPr>
        <w:t xml:space="preserve">Source: </w:t>
      </w:r>
      <w:r w:rsidR="002E529D">
        <w:rPr>
          <w:sz w:val="16"/>
          <w:szCs w:val="16"/>
        </w:rPr>
        <w:t xml:space="preserve">Total receipts from </w:t>
      </w:r>
      <w:r w:rsidRPr="00971A23">
        <w:rPr>
          <w:sz w:val="16"/>
          <w:szCs w:val="16"/>
        </w:rPr>
        <w:t>BBMP Budget books</w:t>
      </w:r>
      <w:r w:rsidR="002E529D">
        <w:rPr>
          <w:sz w:val="16"/>
          <w:szCs w:val="16"/>
        </w:rPr>
        <w:t xml:space="preserve"> across years</w:t>
      </w:r>
    </w:p>
    <w:p w:rsidR="003974A2" w:rsidRPr="00971A23" w:rsidRDefault="003974A2" w:rsidP="000C5977">
      <w:pPr>
        <w:rPr>
          <w:sz w:val="16"/>
          <w:szCs w:val="16"/>
        </w:rPr>
      </w:pPr>
    </w:p>
    <w:p w:rsidR="00801AAA" w:rsidRDefault="00801AAA" w:rsidP="00801AAA"/>
    <w:p w:rsidR="00A5714D" w:rsidRPr="00801AAA" w:rsidRDefault="002E529D" w:rsidP="00801AAA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Since 2016-17, the budget variance between </w:t>
      </w:r>
      <w:r w:rsidR="003627E4">
        <w:t xml:space="preserve">budget estimates </w:t>
      </w:r>
      <w:r w:rsidR="00240C33">
        <w:t xml:space="preserve">(BE) </w:t>
      </w:r>
      <w:r w:rsidR="003627E4">
        <w:t>and revised budget estimates</w:t>
      </w:r>
      <w:r w:rsidR="00240C33">
        <w:t xml:space="preserve"> (RE)</w:t>
      </w:r>
      <w:r w:rsidR="00CF05DE">
        <w:t xml:space="preserve"> averaged at 29.6</w:t>
      </w:r>
      <w:r w:rsidR="003627E4">
        <w:t>% and budget variance between budget estimates and actuals averaged at 28%</w:t>
      </w:r>
      <w:r w:rsidR="006F56A7">
        <w:t xml:space="preserve"> while cities</w:t>
      </w:r>
      <w:r w:rsidR="00F74C2C">
        <w:t xml:space="preserve"> like Mumbai</w:t>
      </w:r>
      <w:r w:rsidR="006F56A7">
        <w:t xml:space="preserve"> (9%)</w:t>
      </w:r>
      <w:r w:rsidR="00F74C2C">
        <w:t>,</w:t>
      </w:r>
      <w:r w:rsidR="006F56A7">
        <w:t xml:space="preserve"> Chennai (15%), Ahmedabad (8%), Surat (5%) boast of an average budget variance under 15%</w:t>
      </w:r>
      <w:r w:rsidR="006F56A7">
        <w:rPr>
          <w:rStyle w:val="FootnoteReference"/>
        </w:rPr>
        <w:footnoteReference w:id="1"/>
      </w:r>
      <w:r w:rsidR="006F56A7">
        <w:t>.</w:t>
      </w:r>
    </w:p>
    <w:p w:rsidR="00A5714D" w:rsidRDefault="00A5714D" w:rsidP="00A571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:rsidR="00A5714D" w:rsidRPr="00A5714D" w:rsidRDefault="00A5714D" w:rsidP="00A5714D">
      <w:pPr>
        <w:rPr>
          <w:b/>
          <w:u w:val="single"/>
        </w:rPr>
      </w:pPr>
      <w:r w:rsidRPr="00971A23">
        <w:rPr>
          <w:b/>
          <w:u w:val="single"/>
        </w:rPr>
        <w:t xml:space="preserve">Table </w:t>
      </w:r>
      <w:r>
        <w:rPr>
          <w:b/>
          <w:u w:val="single"/>
        </w:rPr>
        <w:t>2</w:t>
      </w:r>
      <w:r w:rsidRPr="00971A23">
        <w:rPr>
          <w:b/>
          <w:u w:val="single"/>
        </w:rPr>
        <w:t xml:space="preserve">:  </w:t>
      </w:r>
      <w:r w:rsidR="00015B19">
        <w:rPr>
          <w:b/>
          <w:u w:val="single"/>
        </w:rPr>
        <w:t>Breakdown of revenue streams</w:t>
      </w:r>
    </w:p>
    <w:tbl>
      <w:tblPr>
        <w:tblW w:w="6958" w:type="dxa"/>
        <w:tblInd w:w="-5" w:type="dxa"/>
        <w:tblLook w:val="04A0" w:firstRow="1" w:lastRow="0" w:firstColumn="1" w:lastColumn="0" w:noHBand="0" w:noVBand="1"/>
      </w:tblPr>
      <w:tblGrid>
        <w:gridCol w:w="5437"/>
        <w:gridCol w:w="1521"/>
      </w:tblGrid>
      <w:tr w:rsidR="00823CB1" w:rsidRPr="00823CB1" w:rsidTr="00823CB1">
        <w:trPr>
          <w:trHeight w:val="204"/>
        </w:trPr>
        <w:tc>
          <w:tcPr>
            <w:tcW w:w="5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23CB1" w:rsidRPr="00823CB1" w:rsidRDefault="00823CB1" w:rsidP="00823CB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>Own Revenues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>BE</w:t>
            </w:r>
          </w:p>
        </w:tc>
      </w:tr>
      <w:tr w:rsidR="00823CB1" w:rsidRPr="00823CB1" w:rsidTr="00823CB1">
        <w:trPr>
          <w:trHeight w:val="204"/>
        </w:trPr>
        <w:tc>
          <w:tcPr>
            <w:tcW w:w="5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CB1" w:rsidRPr="00823CB1" w:rsidRDefault="00823CB1" w:rsidP="00823CB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>2020-21</w:t>
            </w:r>
          </w:p>
        </w:tc>
      </w:tr>
      <w:tr w:rsidR="00823CB1" w:rsidRPr="00823CB1" w:rsidTr="00823CB1">
        <w:trPr>
          <w:trHeight w:val="204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Own revenues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B1" w:rsidRPr="00823CB1" w:rsidRDefault="00823CB1" w:rsidP="00823CB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>5,854</w:t>
            </w:r>
          </w:p>
        </w:tc>
      </w:tr>
      <w:tr w:rsidR="00823CB1" w:rsidRPr="00823CB1" w:rsidTr="00823CB1">
        <w:trPr>
          <w:trHeight w:val="204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rPr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color w:val="000000"/>
                <w:sz w:val="20"/>
                <w:szCs w:val="20"/>
                <w:lang w:val="en-US"/>
              </w:rPr>
              <w:t>Grants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B1" w:rsidRPr="00823CB1" w:rsidRDefault="00823CB1" w:rsidP="00823CB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color w:val="000000"/>
                <w:sz w:val="20"/>
                <w:szCs w:val="20"/>
                <w:lang w:val="en-US"/>
              </w:rPr>
              <w:t xml:space="preserve">    4,339 </w:t>
            </w:r>
          </w:p>
        </w:tc>
      </w:tr>
      <w:tr w:rsidR="00823CB1" w:rsidRPr="00823CB1" w:rsidTr="00823CB1">
        <w:trPr>
          <w:trHeight w:val="204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Recoveries &amp; Refund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B1" w:rsidRPr="00823CB1" w:rsidRDefault="00823CB1" w:rsidP="00823CB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color w:val="000000"/>
                <w:sz w:val="20"/>
                <w:szCs w:val="20"/>
                <w:lang w:val="en-US"/>
              </w:rPr>
              <w:t xml:space="preserve">       706 </w:t>
            </w:r>
          </w:p>
        </w:tc>
      </w:tr>
      <w:tr w:rsidR="00823CB1" w:rsidRPr="00823CB1" w:rsidTr="00823CB1">
        <w:trPr>
          <w:trHeight w:val="204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>Total Receipts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B1" w:rsidRPr="00823CB1" w:rsidRDefault="00823CB1" w:rsidP="00823CB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b/>
                <w:bCs/>
                <w:color w:val="000000"/>
                <w:sz w:val="20"/>
                <w:szCs w:val="20"/>
                <w:lang w:val="en-US"/>
              </w:rPr>
              <w:t>10,899</w:t>
            </w:r>
          </w:p>
        </w:tc>
      </w:tr>
      <w:tr w:rsidR="00823CB1" w:rsidRPr="00823CB1" w:rsidTr="00823CB1">
        <w:trPr>
          <w:trHeight w:val="204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23CB1" w:rsidRPr="00823CB1" w:rsidRDefault="00823CB1" w:rsidP="00823CB1">
            <w:pPr>
              <w:rPr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color w:val="000000"/>
                <w:sz w:val="20"/>
                <w:szCs w:val="20"/>
                <w:lang w:val="en-US"/>
              </w:rPr>
              <w:t>Own revenue to Total receipts %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B1" w:rsidRPr="00823CB1" w:rsidRDefault="00823CB1" w:rsidP="00823CB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3CB1">
              <w:rPr>
                <w:color w:val="000000"/>
                <w:sz w:val="20"/>
                <w:szCs w:val="20"/>
                <w:lang w:val="en-US"/>
              </w:rPr>
              <w:t>54%</w:t>
            </w:r>
          </w:p>
        </w:tc>
      </w:tr>
    </w:tbl>
    <w:p w:rsidR="00A5714D" w:rsidRDefault="00A5714D" w:rsidP="00A5714D"/>
    <w:p w:rsidR="00A5714D" w:rsidRPr="00A5714D" w:rsidRDefault="00A5714D" w:rsidP="00A5714D"/>
    <w:p w:rsidR="00A5714D" w:rsidRDefault="00A5714D" w:rsidP="00A5714D"/>
    <w:p w:rsidR="0036123C" w:rsidRDefault="00A5714D" w:rsidP="00A155F7">
      <w:pPr>
        <w:pStyle w:val="ListParagraph"/>
        <w:numPr>
          <w:ilvl w:val="0"/>
          <w:numId w:val="6"/>
        </w:numPr>
        <w:tabs>
          <w:tab w:val="left" w:pos="1429"/>
        </w:tabs>
        <w:jc w:val="both"/>
      </w:pPr>
      <w:r>
        <w:t>There is a risk that the total budget size of the BBMP may stagnate at current levels without either a significant push to further raise own revenues OR guarant</w:t>
      </w:r>
      <w:r w:rsidR="00C01C87">
        <w:t xml:space="preserve">eed, predictable state grants. </w:t>
      </w:r>
      <w:r w:rsidR="0023025F">
        <w:t>State grants are still a significant expected income stream.</w:t>
      </w:r>
      <w:r>
        <w:t xml:space="preserve">  </w:t>
      </w:r>
    </w:p>
    <w:p w:rsidR="002218FB" w:rsidRDefault="002218FB" w:rsidP="000C5977">
      <w:pPr>
        <w:pStyle w:val="Heading2"/>
      </w:pPr>
    </w:p>
    <w:p w:rsidR="0023025F" w:rsidRPr="0023025F" w:rsidRDefault="0023025F" w:rsidP="0023025F"/>
    <w:p w:rsidR="000C5977" w:rsidRDefault="000C5977" w:rsidP="000C5977">
      <w:pPr>
        <w:pStyle w:val="Heading2"/>
      </w:pPr>
      <w:r>
        <w:t>Revenue from Property taxes</w:t>
      </w:r>
    </w:p>
    <w:p w:rsidR="001E0722" w:rsidRDefault="001E0722" w:rsidP="000C5977">
      <w:pPr>
        <w:rPr>
          <w:b/>
          <w:u w:val="single"/>
        </w:rPr>
      </w:pPr>
    </w:p>
    <w:p w:rsidR="000C5977" w:rsidRPr="001E0722" w:rsidRDefault="001E0722" w:rsidP="000C5977">
      <w:pPr>
        <w:rPr>
          <w:b/>
          <w:u w:val="single"/>
        </w:rPr>
      </w:pPr>
      <w:r w:rsidRPr="00971A23">
        <w:rPr>
          <w:b/>
          <w:u w:val="single"/>
        </w:rPr>
        <w:t xml:space="preserve">Table </w:t>
      </w:r>
      <w:r w:rsidR="00C01C87">
        <w:rPr>
          <w:b/>
          <w:u w:val="single"/>
        </w:rPr>
        <w:t>3</w:t>
      </w:r>
      <w:r w:rsidRPr="00971A23">
        <w:rPr>
          <w:b/>
          <w:u w:val="single"/>
        </w:rPr>
        <w:t xml:space="preserve">:  </w:t>
      </w:r>
      <w:r>
        <w:rPr>
          <w:b/>
          <w:u w:val="single"/>
        </w:rPr>
        <w:t>Property tax collections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3180"/>
        <w:gridCol w:w="900"/>
        <w:gridCol w:w="900"/>
        <w:gridCol w:w="900"/>
        <w:gridCol w:w="900"/>
        <w:gridCol w:w="900"/>
      </w:tblGrid>
      <w:tr w:rsidR="00D9219A" w:rsidRPr="0036123C" w:rsidTr="00D9219A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9219A" w:rsidRPr="0036123C" w:rsidRDefault="00D9219A" w:rsidP="0036123C">
            <w:pPr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Property tax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36123C" w:rsidRDefault="00D9219A" w:rsidP="0036123C">
            <w:pPr>
              <w:jc w:val="center"/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36123C" w:rsidRDefault="00D9219A" w:rsidP="0036123C">
            <w:pPr>
              <w:jc w:val="center"/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36123C" w:rsidRDefault="00D9219A" w:rsidP="0036123C">
            <w:pPr>
              <w:jc w:val="center"/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36123C" w:rsidRDefault="00D9219A" w:rsidP="0036123C">
            <w:pPr>
              <w:jc w:val="center"/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D9219A" w:rsidRPr="0036123C" w:rsidRDefault="00D9219A" w:rsidP="00D9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2019-20</w:t>
            </w:r>
          </w:p>
        </w:tc>
      </w:tr>
      <w:tr w:rsidR="00D9219A" w:rsidRPr="0036123C" w:rsidTr="00955532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9A" w:rsidRPr="0036123C" w:rsidRDefault="00D9219A" w:rsidP="00D9219A">
            <w:pPr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Actuals/RBE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23CB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2,100</w:t>
            </w:r>
          </w:p>
        </w:tc>
      </w:tr>
      <w:tr w:rsidR="00D9219A" w:rsidRPr="0036123C" w:rsidTr="00955532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9A" w:rsidRPr="0036123C" w:rsidRDefault="00D9219A" w:rsidP="00D9219A">
            <w:pPr>
              <w:rPr>
                <w:color w:val="000000"/>
                <w:sz w:val="20"/>
                <w:szCs w:val="20"/>
              </w:rPr>
            </w:pPr>
            <w:r w:rsidRPr="0036123C">
              <w:rPr>
                <w:color w:val="000000"/>
                <w:sz w:val="20"/>
                <w:szCs w:val="20"/>
              </w:rPr>
              <w:t>Budgets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19A" w:rsidRDefault="00D9219A" w:rsidP="00D9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3,500</w:t>
            </w:r>
          </w:p>
        </w:tc>
      </w:tr>
      <w:tr w:rsidR="00D9219A" w:rsidRPr="0036123C" w:rsidTr="00955532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19A" w:rsidRPr="0036123C" w:rsidRDefault="00D9219A" w:rsidP="00D92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 vs Actuals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73.8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75.0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61.1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Default="00D9219A" w:rsidP="00D9219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58.7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19A" w:rsidRDefault="00D9219A" w:rsidP="00D9219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60.0 </w:t>
            </w:r>
          </w:p>
        </w:tc>
      </w:tr>
    </w:tbl>
    <w:p w:rsidR="003974A2" w:rsidRDefault="003974A2" w:rsidP="003974A2">
      <w:pPr>
        <w:rPr>
          <w:sz w:val="16"/>
          <w:szCs w:val="16"/>
        </w:rPr>
      </w:pPr>
      <w:r w:rsidRPr="00971A23">
        <w:rPr>
          <w:sz w:val="16"/>
          <w:szCs w:val="16"/>
        </w:rPr>
        <w:t>Source:</w:t>
      </w:r>
      <w:r>
        <w:rPr>
          <w:sz w:val="16"/>
          <w:szCs w:val="16"/>
        </w:rPr>
        <w:t xml:space="preserve"> </w:t>
      </w:r>
      <w:r w:rsidRPr="00971A23">
        <w:rPr>
          <w:sz w:val="16"/>
          <w:szCs w:val="16"/>
        </w:rPr>
        <w:t>BBMP Budget books</w:t>
      </w:r>
      <w:r>
        <w:rPr>
          <w:sz w:val="16"/>
          <w:szCs w:val="16"/>
        </w:rPr>
        <w:t xml:space="preserve"> across years</w:t>
      </w:r>
    </w:p>
    <w:p w:rsidR="0036123C" w:rsidRDefault="0036123C" w:rsidP="000C5977"/>
    <w:p w:rsidR="00F560A8" w:rsidRDefault="0036123C" w:rsidP="0036123C">
      <w:pPr>
        <w:pStyle w:val="ListParagraph"/>
        <w:numPr>
          <w:ilvl w:val="0"/>
          <w:numId w:val="1"/>
        </w:numPr>
      </w:pPr>
      <w:r>
        <w:t>A significant point of concern is the declining collection efficiency of proper</w:t>
      </w:r>
      <w:r w:rsidR="00D9219A">
        <w:t>ty tax from 75% in 2016-17 to 60% in 2019-20</w:t>
      </w:r>
      <w:r w:rsidR="00240C33">
        <w:t xml:space="preserve"> (RE)</w:t>
      </w:r>
      <w:r>
        <w:t>.</w:t>
      </w:r>
      <w:r w:rsidR="00C01C87">
        <w:t xml:space="preserve"> The collections for 2018-19</w:t>
      </w:r>
      <w:r w:rsidR="00E00A8A">
        <w:t xml:space="preserve"> </w:t>
      </w:r>
      <w:r w:rsidR="00C01C87">
        <w:t>is only slightly higher</w:t>
      </w:r>
      <w:r w:rsidR="001F0D60">
        <w:t xml:space="preserve"> </w:t>
      </w:r>
      <w:r w:rsidR="00C01C87">
        <w:t xml:space="preserve">than for 2016-17 </w:t>
      </w:r>
      <w:r w:rsidR="001F0D60">
        <w:t xml:space="preserve">despite consistent increase in estimates of property tax collections. </w:t>
      </w:r>
    </w:p>
    <w:p w:rsidR="00150522" w:rsidRDefault="00150522" w:rsidP="00150522">
      <w:pPr>
        <w:pStyle w:val="ListParagraph"/>
      </w:pPr>
    </w:p>
    <w:p w:rsidR="000C5977" w:rsidRDefault="00F560A8" w:rsidP="000C5977">
      <w:pPr>
        <w:pStyle w:val="ListParagraph"/>
        <w:numPr>
          <w:ilvl w:val="0"/>
          <w:numId w:val="1"/>
        </w:numPr>
      </w:pPr>
      <w:r>
        <w:t>Therefore, BBMP must re-evaluate its property tax estimate scientifically and adopt measures to improve property tax collections</w:t>
      </w:r>
      <w:r w:rsidR="0023025F">
        <w:t>, and reduce d</w:t>
      </w:r>
      <w:r w:rsidR="000C5977">
        <w:t>ependency on Grants</w:t>
      </w:r>
    </w:p>
    <w:p w:rsidR="000C5977" w:rsidRDefault="000C5977" w:rsidP="000C5977"/>
    <w:p w:rsidR="004235B0" w:rsidRPr="004235B0" w:rsidRDefault="004235B0" w:rsidP="000C5977">
      <w:pPr>
        <w:rPr>
          <w:b/>
          <w:u w:val="single"/>
        </w:rPr>
      </w:pPr>
      <w:r w:rsidRPr="00971A23">
        <w:rPr>
          <w:b/>
          <w:u w:val="single"/>
        </w:rPr>
        <w:t xml:space="preserve">Table </w:t>
      </w:r>
      <w:r w:rsidR="00C01C87">
        <w:rPr>
          <w:b/>
          <w:u w:val="single"/>
        </w:rPr>
        <w:t>4</w:t>
      </w:r>
      <w:r w:rsidRPr="00971A23">
        <w:rPr>
          <w:b/>
          <w:u w:val="single"/>
        </w:rPr>
        <w:t xml:space="preserve">:  </w:t>
      </w:r>
      <w:r>
        <w:rPr>
          <w:b/>
          <w:u w:val="single"/>
        </w:rPr>
        <w:t>Contribution of grants</w:t>
      </w:r>
    </w:p>
    <w:tbl>
      <w:tblPr>
        <w:tblW w:w="9974" w:type="dxa"/>
        <w:tblInd w:w="-5" w:type="dxa"/>
        <w:tblLook w:val="04A0" w:firstRow="1" w:lastRow="0" w:firstColumn="1" w:lastColumn="0" w:noHBand="0" w:noVBand="1"/>
      </w:tblPr>
      <w:tblGrid>
        <w:gridCol w:w="2250"/>
        <w:gridCol w:w="990"/>
        <w:gridCol w:w="990"/>
        <w:gridCol w:w="944"/>
        <w:gridCol w:w="960"/>
        <w:gridCol w:w="960"/>
        <w:gridCol w:w="960"/>
        <w:gridCol w:w="960"/>
        <w:gridCol w:w="960"/>
      </w:tblGrid>
      <w:tr w:rsidR="00D9219A" w:rsidRPr="00CF05DE" w:rsidTr="00D9219A">
        <w:trPr>
          <w:trHeight w:val="288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Actuals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Actuals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Actuals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Actuals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Actuals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Actuals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D9219A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="00CF05DE"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BE</w:t>
            </w:r>
          </w:p>
        </w:tc>
      </w:tr>
      <w:tr w:rsidR="00CF05DE" w:rsidRPr="00CF05DE" w:rsidTr="00D9219A">
        <w:trPr>
          <w:trHeight w:val="288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DE" w:rsidRPr="00CF05DE" w:rsidRDefault="00CF05DE" w:rsidP="00CF05D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2013-14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2014-15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2015-16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2016-17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2017-18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2018-19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2019-20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F05DE" w:rsidRPr="00CF05DE" w:rsidRDefault="00CF05DE" w:rsidP="00CF05D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b/>
                <w:bCs/>
                <w:color w:val="000000"/>
                <w:sz w:val="20"/>
                <w:szCs w:val="20"/>
                <w:lang w:val="en-US"/>
              </w:rPr>
              <w:t>2020-21</w:t>
            </w:r>
          </w:p>
        </w:tc>
      </w:tr>
      <w:tr w:rsidR="00CF05DE" w:rsidRPr="00CF05DE" w:rsidTr="00D9219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Grants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902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1,561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2,235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3,505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4,030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3,613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3,113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4,339</w:t>
            </w:r>
          </w:p>
        </w:tc>
      </w:tr>
      <w:tr w:rsidR="00CF05DE" w:rsidRPr="00CF05DE" w:rsidTr="00D9219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Total Receipts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3,093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4,205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5,246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6,572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7,321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7,296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7,064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10,899</w:t>
            </w:r>
          </w:p>
        </w:tc>
      </w:tr>
      <w:tr w:rsidR="00CF05DE" w:rsidRPr="00CF05DE" w:rsidTr="00D9219A">
        <w:trPr>
          <w:trHeight w:val="28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Grants as % of Total receipts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29%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37%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53%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E" w:rsidRPr="00CF05DE" w:rsidRDefault="00CF05DE" w:rsidP="00CF05D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F05DE">
              <w:rPr>
                <w:color w:val="000000"/>
                <w:sz w:val="20"/>
                <w:szCs w:val="20"/>
                <w:lang w:val="en-US"/>
              </w:rPr>
              <w:t>40%</w:t>
            </w:r>
          </w:p>
        </w:tc>
      </w:tr>
    </w:tbl>
    <w:p w:rsidR="00CF05DE" w:rsidRDefault="00CF05DE" w:rsidP="003974A2">
      <w:pPr>
        <w:rPr>
          <w:sz w:val="16"/>
          <w:szCs w:val="16"/>
        </w:rPr>
      </w:pPr>
    </w:p>
    <w:p w:rsidR="003974A2" w:rsidRDefault="003974A2" w:rsidP="003974A2">
      <w:pPr>
        <w:rPr>
          <w:sz w:val="16"/>
          <w:szCs w:val="16"/>
        </w:rPr>
      </w:pPr>
      <w:r w:rsidRPr="00971A23">
        <w:rPr>
          <w:sz w:val="16"/>
          <w:szCs w:val="16"/>
        </w:rPr>
        <w:t>Source:</w:t>
      </w:r>
      <w:r>
        <w:rPr>
          <w:sz w:val="16"/>
          <w:szCs w:val="16"/>
        </w:rPr>
        <w:t xml:space="preserve"> </w:t>
      </w:r>
      <w:r w:rsidRPr="00971A23">
        <w:rPr>
          <w:sz w:val="16"/>
          <w:szCs w:val="16"/>
        </w:rPr>
        <w:t>BBMP Budget books</w:t>
      </w:r>
      <w:r>
        <w:rPr>
          <w:sz w:val="16"/>
          <w:szCs w:val="16"/>
        </w:rPr>
        <w:t xml:space="preserve"> across years</w:t>
      </w:r>
    </w:p>
    <w:p w:rsidR="000D6FAD" w:rsidRDefault="000D6FAD" w:rsidP="000C5977"/>
    <w:p w:rsidR="004E2886" w:rsidRDefault="004E2886" w:rsidP="000C5977"/>
    <w:p w:rsidR="005C57E5" w:rsidRDefault="004632E5" w:rsidP="00D9219A">
      <w:pPr>
        <w:pStyle w:val="ListParagraph"/>
        <w:numPr>
          <w:ilvl w:val="0"/>
          <w:numId w:val="1"/>
        </w:numPr>
      </w:pPr>
      <w:r w:rsidRPr="004632E5">
        <w:t>BBMP’s dependency on grants has significantly increa</w:t>
      </w:r>
      <w:r w:rsidR="00D9219A">
        <w:t>sed since 2013-14.   BBMP in 2020</w:t>
      </w:r>
      <w:r w:rsidRPr="004632E5">
        <w:t>-</w:t>
      </w:r>
      <w:r w:rsidR="00D9219A">
        <w:t>21</w:t>
      </w:r>
      <w:r w:rsidRPr="004632E5">
        <w:t xml:space="preserve"> has proposed to reduc</w:t>
      </w:r>
      <w:r w:rsidR="00D9219A">
        <w:t>e its dependency on grants to 40</w:t>
      </w:r>
      <w:r w:rsidRPr="004632E5">
        <w:t xml:space="preserve">%, primarily by mobilizing own revenues.  </w:t>
      </w:r>
      <w:r w:rsidR="00846D28">
        <w:t xml:space="preserve">  </w:t>
      </w:r>
    </w:p>
    <w:p w:rsidR="000C5977" w:rsidRDefault="000C5977" w:rsidP="000C5977"/>
    <w:p w:rsidR="000C5977" w:rsidRDefault="000C5977" w:rsidP="000C5977">
      <w:pPr>
        <w:pStyle w:val="Heading2"/>
      </w:pPr>
      <w:r>
        <w:t>Salary costs incurred</w:t>
      </w:r>
    </w:p>
    <w:p w:rsidR="00386836" w:rsidRDefault="00386836" w:rsidP="00386836"/>
    <w:p w:rsidR="004235B0" w:rsidRPr="004235B0" w:rsidRDefault="004235B0" w:rsidP="00386836">
      <w:pPr>
        <w:rPr>
          <w:b/>
          <w:u w:val="single"/>
        </w:rPr>
      </w:pPr>
      <w:r w:rsidRPr="00971A23">
        <w:rPr>
          <w:b/>
          <w:u w:val="single"/>
        </w:rPr>
        <w:t xml:space="preserve">Table </w:t>
      </w:r>
      <w:r w:rsidR="00C01C87">
        <w:rPr>
          <w:b/>
          <w:u w:val="single"/>
        </w:rPr>
        <w:t>5</w:t>
      </w:r>
      <w:r w:rsidRPr="00971A23">
        <w:rPr>
          <w:b/>
          <w:u w:val="single"/>
        </w:rPr>
        <w:t xml:space="preserve">:  </w:t>
      </w:r>
      <w:r>
        <w:rPr>
          <w:b/>
          <w:u w:val="single"/>
        </w:rPr>
        <w:t>Salary cost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885"/>
        <w:gridCol w:w="990"/>
        <w:gridCol w:w="990"/>
        <w:gridCol w:w="900"/>
        <w:gridCol w:w="900"/>
        <w:gridCol w:w="990"/>
        <w:gridCol w:w="900"/>
        <w:gridCol w:w="990"/>
        <w:gridCol w:w="1055"/>
      </w:tblGrid>
      <w:tr w:rsidR="00D9219A" w:rsidRPr="007E152E" w:rsidTr="00D9219A">
        <w:trPr>
          <w:trHeight w:val="25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Particulars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D9219A" w:rsidRPr="007E152E" w:rsidRDefault="00D9219A" w:rsidP="007E15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</w:t>
            </w:r>
          </w:p>
        </w:tc>
      </w:tr>
      <w:tr w:rsidR="00D9219A" w:rsidRPr="007E152E" w:rsidTr="00D9219A">
        <w:trPr>
          <w:trHeight w:val="25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19A" w:rsidRPr="007E152E" w:rsidRDefault="00D9219A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52E">
              <w:rPr>
                <w:b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19A" w:rsidRPr="007E152E" w:rsidRDefault="00581FD1" w:rsidP="007E152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2020-21</w:t>
            </w:r>
          </w:p>
        </w:tc>
      </w:tr>
      <w:tr w:rsidR="00581FD1" w:rsidRPr="007E152E" w:rsidTr="00C46E7A">
        <w:trPr>
          <w:trHeight w:val="25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D1" w:rsidRPr="007E152E" w:rsidRDefault="00581FD1" w:rsidP="00581FD1">
            <w:pPr>
              <w:rPr>
                <w:color w:val="000000"/>
                <w:sz w:val="20"/>
                <w:szCs w:val="20"/>
              </w:rPr>
            </w:pPr>
            <w:r w:rsidRPr="007E152E">
              <w:rPr>
                <w:color w:val="000000"/>
                <w:sz w:val="20"/>
                <w:szCs w:val="20"/>
              </w:rPr>
              <w:t>Salaries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483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530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544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402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562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759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788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FD1" w:rsidRPr="001C26FB" w:rsidRDefault="00581FD1" w:rsidP="00581FD1">
            <w:pPr>
              <w:jc w:val="right"/>
            </w:pPr>
            <w:r>
              <w:t>895</w:t>
            </w:r>
          </w:p>
        </w:tc>
      </w:tr>
      <w:tr w:rsidR="00581FD1" w:rsidRPr="007E152E" w:rsidTr="00C46E7A">
        <w:trPr>
          <w:trHeight w:val="25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D1" w:rsidRPr="007E152E" w:rsidRDefault="00581FD1" w:rsidP="00581FD1">
            <w:pPr>
              <w:rPr>
                <w:color w:val="000000"/>
                <w:sz w:val="20"/>
                <w:szCs w:val="20"/>
              </w:rPr>
            </w:pPr>
            <w:r w:rsidRPr="007E152E">
              <w:rPr>
                <w:color w:val="000000"/>
                <w:sz w:val="20"/>
                <w:szCs w:val="20"/>
              </w:rPr>
              <w:t>Payments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3,343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3,778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5,198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5,310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7,396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7,709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 xml:space="preserve"> 7,066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FD1" w:rsidRPr="001C26FB" w:rsidRDefault="00581FD1" w:rsidP="00581FD1">
            <w:pPr>
              <w:jc w:val="right"/>
            </w:pPr>
            <w:r>
              <w:t>10895</w:t>
            </w:r>
          </w:p>
        </w:tc>
      </w:tr>
      <w:tr w:rsidR="00581FD1" w:rsidRPr="007E152E" w:rsidTr="00C46E7A">
        <w:trPr>
          <w:trHeight w:val="25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81FD1" w:rsidRPr="007E152E" w:rsidRDefault="00581FD1" w:rsidP="00581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152E">
              <w:rPr>
                <w:b/>
                <w:bCs/>
                <w:color w:val="000000"/>
                <w:sz w:val="20"/>
                <w:szCs w:val="20"/>
              </w:rPr>
              <w:t>% salaries to payments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14%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581FD1" w:rsidRPr="001C26FB" w:rsidRDefault="00581FD1" w:rsidP="00581FD1">
            <w:pPr>
              <w:jc w:val="right"/>
            </w:pPr>
            <w:r w:rsidRPr="001C26FB">
              <w:t>11%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81FD1" w:rsidRDefault="00581FD1" w:rsidP="00581FD1">
            <w:pPr>
              <w:jc w:val="right"/>
            </w:pPr>
            <w:r w:rsidRPr="001C26FB">
              <w:t>8%</w:t>
            </w:r>
          </w:p>
        </w:tc>
      </w:tr>
    </w:tbl>
    <w:p w:rsidR="007E152E" w:rsidRDefault="007E152E" w:rsidP="00386836"/>
    <w:p w:rsidR="007E152E" w:rsidRDefault="007E152E" w:rsidP="00386836"/>
    <w:p w:rsidR="007E152E" w:rsidRDefault="007E152E" w:rsidP="007E152E">
      <w:pPr>
        <w:pStyle w:val="ListParagraph"/>
        <w:numPr>
          <w:ilvl w:val="0"/>
          <w:numId w:val="1"/>
        </w:numPr>
      </w:pPr>
      <w:r w:rsidRPr="007E152E">
        <w:t xml:space="preserve">An interesting trend </w:t>
      </w:r>
      <w:r>
        <w:t xml:space="preserve">noted </w:t>
      </w:r>
      <w:r w:rsidRPr="007E152E">
        <w:t xml:space="preserve">is that salaries as % of total payments have fallen from 14% in 2013-14 to </w:t>
      </w:r>
      <w:r w:rsidR="00581FD1">
        <w:t>10% in 2018-19</w:t>
      </w:r>
      <w:r w:rsidRPr="007E152E">
        <w:t xml:space="preserve">.  In comparison, Hyderabad and Chennai are at 16% and 27% respectively.  </w:t>
      </w:r>
    </w:p>
    <w:p w:rsidR="00DE1795" w:rsidRPr="007E152E" w:rsidRDefault="00DE1795" w:rsidP="00DE1795">
      <w:pPr>
        <w:pStyle w:val="ListParagraph"/>
      </w:pPr>
    </w:p>
    <w:p w:rsidR="007E152E" w:rsidRDefault="00A377D6" w:rsidP="003976E1">
      <w:pPr>
        <w:pStyle w:val="ListParagraph"/>
        <w:numPr>
          <w:ilvl w:val="0"/>
          <w:numId w:val="1"/>
        </w:numPr>
      </w:pPr>
      <w:r>
        <w:t xml:space="preserve">Staffing information published by BBMP reveals that </w:t>
      </w:r>
      <w:r w:rsidR="00C01C87">
        <w:t xml:space="preserve">there is significant staff shortage in </w:t>
      </w:r>
      <w:r>
        <w:t>BBMP.</w:t>
      </w:r>
      <w:r w:rsidR="003976E1">
        <w:t xml:space="preserve"> </w:t>
      </w:r>
      <w:r w:rsidR="00C01C87">
        <w:t>However, it has been proposed in budget that 938 vacant posts in various cadres in BBMP shall be recruited through Karnataka Public Service Commission.</w:t>
      </w:r>
    </w:p>
    <w:sectPr w:rsidR="007E152E" w:rsidSect="0023025F">
      <w:headerReference w:type="default" r:id="rId11"/>
      <w:pgSz w:w="11900" w:h="16840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CD" w:rsidRDefault="009062CD" w:rsidP="000C5977">
      <w:r>
        <w:separator/>
      </w:r>
    </w:p>
  </w:endnote>
  <w:endnote w:type="continuationSeparator" w:id="0">
    <w:p w:rsidR="009062CD" w:rsidRDefault="009062CD" w:rsidP="000C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CD" w:rsidRDefault="009062CD" w:rsidP="000C5977">
      <w:r>
        <w:separator/>
      </w:r>
    </w:p>
  </w:footnote>
  <w:footnote w:type="continuationSeparator" w:id="0">
    <w:p w:rsidR="009062CD" w:rsidRDefault="009062CD" w:rsidP="000C5977">
      <w:r>
        <w:continuationSeparator/>
      </w:r>
    </w:p>
  </w:footnote>
  <w:footnote w:id="1">
    <w:p w:rsidR="006F56A7" w:rsidRDefault="006F56A7">
      <w:pPr>
        <w:pStyle w:val="FootnoteText"/>
      </w:pPr>
      <w:r>
        <w:rPr>
          <w:rStyle w:val="FootnoteReference"/>
        </w:rPr>
        <w:footnoteRef/>
      </w:r>
      <w:r>
        <w:t xml:space="preserve"> ASICS,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77" w:rsidRDefault="000C5977">
    <w:pPr>
      <w:pStyle w:val="Header"/>
    </w:pPr>
    <w:r w:rsidRPr="00F803AE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41729F" wp14:editId="164330A3">
          <wp:simplePos x="0" y="0"/>
          <wp:positionH relativeFrom="column">
            <wp:posOffset>4325816</wp:posOffset>
          </wp:positionH>
          <wp:positionV relativeFrom="paragraph">
            <wp:posOffset>13433</wp:posOffset>
          </wp:positionV>
          <wp:extent cx="1885146" cy="500932"/>
          <wp:effectExtent l="0" t="0" r="1270" b="0"/>
          <wp:wrapTight wrapText="bothSides">
            <wp:wrapPolygon edited="0">
              <wp:start x="0" y="0"/>
              <wp:lineTo x="0" y="20558"/>
              <wp:lineTo x="21396" y="20558"/>
              <wp:lineTo x="21396" y="0"/>
              <wp:lineTo x="0" y="0"/>
            </wp:wrapPolygon>
          </wp:wrapTight>
          <wp:docPr id="6" name="Picture 6" descr="F:\SrikanthV-JL-090-Nov2014\Management\Collaterals\JANAAGRAHA-LOGO-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rikanthV-JL-090-Nov2014\Management\Collaterals\JANAAGRAHA-LOGO-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146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7A66"/>
    <w:multiLevelType w:val="hybridMultilevel"/>
    <w:tmpl w:val="EA5A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D11C6"/>
    <w:multiLevelType w:val="hybridMultilevel"/>
    <w:tmpl w:val="1CE003F4"/>
    <w:lvl w:ilvl="0" w:tplc="CCDC92A4">
      <w:start w:val="8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6274D"/>
    <w:multiLevelType w:val="hybridMultilevel"/>
    <w:tmpl w:val="8032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7697C"/>
    <w:multiLevelType w:val="hybridMultilevel"/>
    <w:tmpl w:val="878A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32626"/>
    <w:multiLevelType w:val="hybridMultilevel"/>
    <w:tmpl w:val="6908C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00608"/>
    <w:multiLevelType w:val="hybridMultilevel"/>
    <w:tmpl w:val="3ECA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DC"/>
    <w:rsid w:val="00015B19"/>
    <w:rsid w:val="000161F6"/>
    <w:rsid w:val="00022235"/>
    <w:rsid w:val="000C5977"/>
    <w:rsid w:val="000D6AB8"/>
    <w:rsid w:val="000D6FAD"/>
    <w:rsid w:val="00110917"/>
    <w:rsid w:val="00150522"/>
    <w:rsid w:val="001522D2"/>
    <w:rsid w:val="00195F92"/>
    <w:rsid w:val="001A0D7D"/>
    <w:rsid w:val="001D7F3D"/>
    <w:rsid w:val="001E0722"/>
    <w:rsid w:val="001E30E0"/>
    <w:rsid w:val="001F0D60"/>
    <w:rsid w:val="00202EF4"/>
    <w:rsid w:val="00212236"/>
    <w:rsid w:val="002218FB"/>
    <w:rsid w:val="0023025F"/>
    <w:rsid w:val="00235B82"/>
    <w:rsid w:val="002370F6"/>
    <w:rsid w:val="00240C33"/>
    <w:rsid w:val="00264117"/>
    <w:rsid w:val="002D2845"/>
    <w:rsid w:val="002E2E85"/>
    <w:rsid w:val="002E529D"/>
    <w:rsid w:val="002F1550"/>
    <w:rsid w:val="00315A76"/>
    <w:rsid w:val="00330EEF"/>
    <w:rsid w:val="00341BFC"/>
    <w:rsid w:val="00353C93"/>
    <w:rsid w:val="0036123C"/>
    <w:rsid w:val="003627E4"/>
    <w:rsid w:val="00386836"/>
    <w:rsid w:val="003974A2"/>
    <w:rsid w:val="003976E1"/>
    <w:rsid w:val="003E2C4E"/>
    <w:rsid w:val="003F3812"/>
    <w:rsid w:val="00403CDC"/>
    <w:rsid w:val="004235B0"/>
    <w:rsid w:val="0044433A"/>
    <w:rsid w:val="0044667A"/>
    <w:rsid w:val="00450159"/>
    <w:rsid w:val="004632E5"/>
    <w:rsid w:val="00480F4E"/>
    <w:rsid w:val="004C4A20"/>
    <w:rsid w:val="004D1D71"/>
    <w:rsid w:val="004D3F0B"/>
    <w:rsid w:val="004E2886"/>
    <w:rsid w:val="00512B8F"/>
    <w:rsid w:val="00535F93"/>
    <w:rsid w:val="00553AC2"/>
    <w:rsid w:val="0055745F"/>
    <w:rsid w:val="00581FD1"/>
    <w:rsid w:val="005A12C9"/>
    <w:rsid w:val="005C57E5"/>
    <w:rsid w:val="005F6229"/>
    <w:rsid w:val="0063491A"/>
    <w:rsid w:val="006B39C1"/>
    <w:rsid w:val="006D0B5D"/>
    <w:rsid w:val="006F56A7"/>
    <w:rsid w:val="00716BF5"/>
    <w:rsid w:val="00752EDA"/>
    <w:rsid w:val="007B146B"/>
    <w:rsid w:val="007E152E"/>
    <w:rsid w:val="007E7AF5"/>
    <w:rsid w:val="00801AAA"/>
    <w:rsid w:val="00812945"/>
    <w:rsid w:val="00823CB1"/>
    <w:rsid w:val="008465AA"/>
    <w:rsid w:val="00846D28"/>
    <w:rsid w:val="0089603E"/>
    <w:rsid w:val="008D7389"/>
    <w:rsid w:val="009062CD"/>
    <w:rsid w:val="009341E8"/>
    <w:rsid w:val="00971A23"/>
    <w:rsid w:val="0098385A"/>
    <w:rsid w:val="009E7B9A"/>
    <w:rsid w:val="00A0577C"/>
    <w:rsid w:val="00A377D6"/>
    <w:rsid w:val="00A5714D"/>
    <w:rsid w:val="00AA36A5"/>
    <w:rsid w:val="00AA3B86"/>
    <w:rsid w:val="00B235F8"/>
    <w:rsid w:val="00B4708A"/>
    <w:rsid w:val="00B54593"/>
    <w:rsid w:val="00B70D08"/>
    <w:rsid w:val="00BB2BC4"/>
    <w:rsid w:val="00BC72E1"/>
    <w:rsid w:val="00C01C87"/>
    <w:rsid w:val="00C431E7"/>
    <w:rsid w:val="00C665A5"/>
    <w:rsid w:val="00C7296E"/>
    <w:rsid w:val="00CB17C5"/>
    <w:rsid w:val="00CD67F2"/>
    <w:rsid w:val="00CE4322"/>
    <w:rsid w:val="00CF05DE"/>
    <w:rsid w:val="00D11AAD"/>
    <w:rsid w:val="00D32F20"/>
    <w:rsid w:val="00D9219A"/>
    <w:rsid w:val="00DE1795"/>
    <w:rsid w:val="00DF7704"/>
    <w:rsid w:val="00E00A8A"/>
    <w:rsid w:val="00E07DEE"/>
    <w:rsid w:val="00E14D73"/>
    <w:rsid w:val="00E26D40"/>
    <w:rsid w:val="00E520C3"/>
    <w:rsid w:val="00E62B0E"/>
    <w:rsid w:val="00EF052F"/>
    <w:rsid w:val="00EF4D21"/>
    <w:rsid w:val="00F016DD"/>
    <w:rsid w:val="00F22E6D"/>
    <w:rsid w:val="00F360D0"/>
    <w:rsid w:val="00F560A8"/>
    <w:rsid w:val="00F74C2C"/>
    <w:rsid w:val="00F8359A"/>
    <w:rsid w:val="00F90FC5"/>
    <w:rsid w:val="00FC2F93"/>
    <w:rsid w:val="00FD6F7B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01BB1EB-1BC2-AB41-9E49-3747A281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AD"/>
    <w:rPr>
      <w:rFonts w:ascii="Times New Roman" w:eastAsia="Times New Roman" w:hAnsi="Times New Roman" w:cs="Times New Roman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977"/>
  </w:style>
  <w:style w:type="paragraph" w:styleId="Footer">
    <w:name w:val="footer"/>
    <w:basedOn w:val="Normal"/>
    <w:link w:val="FooterChar"/>
    <w:uiPriority w:val="99"/>
    <w:unhideWhenUsed/>
    <w:rsid w:val="000C5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977"/>
  </w:style>
  <w:style w:type="character" w:customStyle="1" w:styleId="Heading1Char">
    <w:name w:val="Heading 1 Char"/>
    <w:basedOn w:val="DefaultParagraphFont"/>
    <w:link w:val="Heading1"/>
    <w:uiPriority w:val="9"/>
    <w:rsid w:val="000C59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59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71A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56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6A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56A7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581F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581F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DA71B1F34D841A59A39B68B917A9B" ma:contentTypeVersion="32" ma:contentTypeDescription="Create a new document." ma:contentTypeScope="" ma:versionID="241803530940459c4975f5f3ce7ebd4e">
  <xsd:schema xmlns:xsd="http://www.w3.org/2001/XMLSchema" xmlns:xs="http://www.w3.org/2001/XMLSchema" xmlns:p="http://schemas.microsoft.com/office/2006/metadata/properties" xmlns:ns2="f43cf3d3-1c4e-42ec-948f-03d29645e00d" xmlns:ns3="66eab365-84d2-4835-b909-cc74a2b60864" targetNamespace="http://schemas.microsoft.com/office/2006/metadata/properties" ma:root="true" ma:fieldsID="5c0442fb125c926a4acd3234f2242f2f" ns2:_="" ns3:_="">
    <xsd:import namespace="f43cf3d3-1c4e-42ec-948f-03d29645e00d"/>
    <xsd:import namespace="66eab365-84d2-4835-b909-cc74a2b60864"/>
    <xsd:element name="properties">
      <xsd:complexType>
        <xsd:sequence>
          <xsd:element name="documentManagement">
            <xsd:complexType>
              <xsd:all>
                <xsd:element ref="ns2:d3f458da4d98423894ceace3de9e2e71" minOccurs="0"/>
                <xsd:element ref="ns3:TaxCatchAll" minOccurs="0"/>
                <xsd:element ref="ns2:ia153a85128347e8b08f0cb70efadec4" minOccurs="0"/>
                <xsd:element ref="ns2:i6fe823a39704e0a862e91f5e6459a74" minOccurs="0"/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cf3d3-1c4e-42ec-948f-03d29645e00d" elementFormDefault="qualified">
    <xsd:import namespace="http://schemas.microsoft.com/office/2006/documentManagement/types"/>
    <xsd:import namespace="http://schemas.microsoft.com/office/infopath/2007/PartnerControls"/>
    <xsd:element name="d3f458da4d98423894ceace3de9e2e71" ma:index="9" nillable="true" ma:taxonomy="true" ma:internalName="d3f458da4d98423894ceace3de9e2e71" ma:taxonomyFieldName="Department" ma:displayName="Department" ma:indexed="true" ma:readOnly="false" ma:default="" ma:fieldId="{d3f458da-4d98-4238-94ce-ace3de9e2e71}" ma:sspId="8648e0e9-bd7b-40d5-848b-91c61f6093b5" ma:termSetId="2abd7d2a-0490-4e45-9eff-103b72701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153a85128347e8b08f0cb70efadec4" ma:index="12" nillable="true" ma:taxonomy="true" ma:internalName="ia153a85128347e8b08f0cb70efadec4" ma:taxonomyFieldName="Program" ma:displayName="Program" ma:indexed="true" ma:readOnly="false" ma:default="" ma:fieldId="{2a153a85-1283-47e8-b08f-0cb70efadec4}" ma:sspId="8648e0e9-bd7b-40d5-848b-91c61f6093b5" ma:termSetId="42a250bb-2675-4580-848b-c026fb8ebd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e823a39704e0a862e91f5e6459a74" ma:index="14" nillable="true" ma:taxonomy="true" ma:internalName="i6fe823a39704e0a862e91f5e6459a74" ma:taxonomyFieldName="Document_x0020_Type" ma:displayName="Document Type" ma:indexed="true" ma:readOnly="false" ma:default="" ma:fieldId="{26fe823a-3970-4e0a-862e-91f5e6459a74}" ma:sspId="8648e0e9-bd7b-40d5-848b-91c61f6093b5" ma:termSetId="d8969001-c2ff-45f0-a6e5-f570a2e30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ab365-84d2-4835-b909-cc74a2b6086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c71fcf9-2bd3-4c9d-ba8d-8096096a9c3a}" ma:internalName="TaxCatchAll" ma:showField="CatchAllData" ma:web="66eab365-84d2-4835-b909-cc74a2b6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ab365-84d2-4835-b909-cc74a2b60864"/>
    <ia153a85128347e8b08f0cb70efadec4 xmlns="f43cf3d3-1c4e-42ec-948f-03d29645e00d">
      <Terms xmlns="http://schemas.microsoft.com/office/infopath/2007/PartnerControls"/>
    </ia153a85128347e8b08f0cb70efadec4>
    <d3f458da4d98423894ceace3de9e2e71 xmlns="f43cf3d3-1c4e-42ec-948f-03d29645e00d">
      <Terms xmlns="http://schemas.microsoft.com/office/infopath/2007/PartnerControls"/>
    </d3f458da4d98423894ceace3de9e2e71>
    <_Flow_SignoffStatus xmlns="f43cf3d3-1c4e-42ec-948f-03d29645e00d" xsi:nil="true"/>
    <i6fe823a39704e0a862e91f5e6459a74 xmlns="f43cf3d3-1c4e-42ec-948f-03d29645e00d">
      <Terms xmlns="http://schemas.microsoft.com/office/infopath/2007/PartnerControls"/>
    </i6fe823a39704e0a862e91f5e6459a74>
    <SharedWithUsers xmlns="66eab365-84d2-4835-b909-cc74a2b60864">
      <UserInfo>
        <DisplayName>Sapna Karim</DisplayName>
        <AccountId>55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FF1EC6-6E02-423B-962A-37F87378C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A9BE4-DD57-45CC-8EA6-54CD95C8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cf3d3-1c4e-42ec-948f-03d29645e00d"/>
    <ds:schemaRef ds:uri="66eab365-84d2-4835-b909-cc74a2b6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2EE60-D067-4F45-8283-92871FF14017}">
  <ds:schemaRefs>
    <ds:schemaRef ds:uri="http://schemas.microsoft.com/office/2006/metadata/properties"/>
    <ds:schemaRef ds:uri="http://schemas.microsoft.com/office/infopath/2007/PartnerControls"/>
    <ds:schemaRef ds:uri="66eab365-84d2-4835-b909-cc74a2b60864"/>
    <ds:schemaRef ds:uri="f43cf3d3-1c4e-42ec-948f-03d29645e00d"/>
  </ds:schemaRefs>
</ds:datastoreItem>
</file>

<file path=customXml/itemProps4.xml><?xml version="1.0" encoding="utf-8"?>
<ds:datastoreItem xmlns:ds="http://schemas.openxmlformats.org/officeDocument/2006/customXml" ds:itemID="{CD278513-954D-46D9-B817-29502206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Mathangi Chandrasekhar</dc:creator>
  <cp:keywords/>
  <dc:description/>
  <cp:lastModifiedBy>sapna</cp:lastModifiedBy>
  <cp:revision>2</cp:revision>
  <dcterms:created xsi:type="dcterms:W3CDTF">2020-04-20T11:02:00Z</dcterms:created>
  <dcterms:modified xsi:type="dcterms:W3CDTF">2020-04-20T11:02:00Z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0x010100B65DA71B1F34D841A59A39B68B917A9B</vt:lpwstr>
  </property>
</Properties>
</file>